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DB" w:rsidRDefault="00B95DDB" w:rsidP="00B95DDB">
      <w:pPr>
        <w:ind w:firstLine="720"/>
        <w:jc w:val="both"/>
        <w:rPr>
          <w:snapToGrid w:val="0"/>
          <w:sz w:val="24"/>
        </w:rPr>
      </w:pPr>
    </w:p>
    <w:p w:rsidR="00B95DDB" w:rsidRDefault="00B95DDB" w:rsidP="00B95DDB">
      <w:pPr>
        <w:ind w:firstLine="720"/>
        <w:jc w:val="center"/>
        <w:rPr>
          <w:b/>
          <w:snapToGrid w:val="0"/>
          <w:sz w:val="24"/>
        </w:rPr>
      </w:pPr>
      <w:r>
        <w:rPr>
          <w:b/>
          <w:snapToGrid w:val="0"/>
          <w:sz w:val="24"/>
        </w:rPr>
        <w:t>Aktyvių piliečių fondo 1-4 poveikių srities projektų koncepcijų ir išsamių projektų paraiškų vertinimo ekspertų darbo reglamentas</w:t>
      </w:r>
    </w:p>
    <w:p w:rsidR="00B95DDB" w:rsidRDefault="00B95DDB" w:rsidP="00B95DDB">
      <w:pPr>
        <w:jc w:val="both"/>
        <w:rPr>
          <w:b/>
          <w:snapToGrid w:val="0"/>
          <w:sz w:val="24"/>
        </w:rPr>
      </w:pPr>
    </w:p>
    <w:p w:rsidR="00B95DDB" w:rsidRDefault="00B95DDB" w:rsidP="00B95DDB">
      <w:pPr>
        <w:jc w:val="both"/>
        <w:rPr>
          <w:b/>
          <w:snapToGrid w:val="0"/>
          <w:sz w:val="24"/>
        </w:rPr>
      </w:pPr>
      <w:r>
        <w:rPr>
          <w:b/>
          <w:snapToGrid w:val="0"/>
          <w:sz w:val="24"/>
        </w:rPr>
        <w:t>I.</w:t>
      </w:r>
      <w:r>
        <w:rPr>
          <w:b/>
          <w:snapToGrid w:val="0"/>
          <w:sz w:val="24"/>
        </w:rPr>
        <w:tab/>
        <w:t xml:space="preserve">Bendrosios nuostatos </w:t>
      </w:r>
    </w:p>
    <w:p w:rsidR="00B95DDB" w:rsidRDefault="00B95DDB" w:rsidP="00B95DDB">
      <w:pPr>
        <w:ind w:firstLine="720"/>
        <w:jc w:val="both"/>
        <w:rPr>
          <w:snapToGrid w:val="0"/>
          <w:sz w:val="24"/>
        </w:rPr>
      </w:pPr>
    </w:p>
    <w:p w:rsidR="00B95DDB" w:rsidRDefault="00B95DDB" w:rsidP="00B95DDB">
      <w:pPr>
        <w:pStyle w:val="BodyText"/>
        <w:numPr>
          <w:ilvl w:val="0"/>
          <w:numId w:val="2"/>
        </w:numPr>
        <w:rPr>
          <w:snapToGrid w:val="0"/>
        </w:rPr>
      </w:pPr>
      <w:r>
        <w:rPr>
          <w:snapToGrid w:val="0"/>
        </w:rPr>
        <w:t xml:space="preserve">Europos ekonominės erdvės (toliau – EEE) </w:t>
      </w:r>
      <w:r>
        <w:rPr>
          <w:szCs w:val="24"/>
        </w:rPr>
        <w:t>2014 – 2021</w:t>
      </w:r>
      <w:r w:rsidRPr="00C05B1C">
        <w:rPr>
          <w:szCs w:val="24"/>
        </w:rPr>
        <w:t xml:space="preserve"> m. </w:t>
      </w:r>
      <w:r>
        <w:rPr>
          <w:snapToGrid w:val="0"/>
        </w:rPr>
        <w:t xml:space="preserve">finansinio mechanizmo Aktyvių piliečių fondo (toliau - Fondo) </w:t>
      </w:r>
      <w:r w:rsidRPr="00EF5DD0">
        <w:rPr>
          <w:snapToGrid w:val="0"/>
        </w:rPr>
        <w:t xml:space="preserve">projektų koncepcijų ir išsamių </w:t>
      </w:r>
      <w:r>
        <w:rPr>
          <w:snapToGrid w:val="0"/>
        </w:rPr>
        <w:t xml:space="preserve">projektų </w:t>
      </w:r>
      <w:r w:rsidRPr="00EF5DD0">
        <w:rPr>
          <w:snapToGrid w:val="0"/>
        </w:rPr>
        <w:t xml:space="preserve">paraiškų vertinimo </w:t>
      </w:r>
      <w:r>
        <w:rPr>
          <w:snapToGrid w:val="0"/>
        </w:rPr>
        <w:t>ekspertas</w:t>
      </w:r>
      <w:r>
        <w:rPr>
          <w:b/>
          <w:snapToGrid w:val="0"/>
        </w:rPr>
        <w:t xml:space="preserve"> </w:t>
      </w:r>
      <w:r>
        <w:rPr>
          <w:snapToGrid w:val="0"/>
        </w:rPr>
        <w:t xml:space="preserve">(toliau – ekspertas) – asmuo, atrinktas vertinti Aktyvių piliečių fondo programos projektų koncepcijas ir išsamias paraiškas. </w:t>
      </w:r>
    </w:p>
    <w:p w:rsidR="00B95DDB" w:rsidRDefault="00B95DDB" w:rsidP="00B95DDB">
      <w:pPr>
        <w:pStyle w:val="BodyText"/>
        <w:numPr>
          <w:ilvl w:val="0"/>
          <w:numId w:val="2"/>
        </w:numPr>
        <w:rPr>
          <w:snapToGrid w:val="0"/>
        </w:rPr>
      </w:pPr>
      <w:r>
        <w:rPr>
          <w:snapToGrid w:val="0"/>
        </w:rPr>
        <w:t xml:space="preserve">Ekspertas savo darbe vadovaujasi šiuo reglamentu, gairėmis pareiškėjams, </w:t>
      </w:r>
      <w:r w:rsidRPr="0069663C">
        <w:rPr>
          <w:szCs w:val="24"/>
          <w:lang w:eastAsia="lt-LT"/>
        </w:rPr>
        <w:t xml:space="preserve">veiklą grindžia objektyvumo, nepriklausomumo, nešališkumo, konfidencialumo, įstatymų viršenybės, </w:t>
      </w:r>
      <w:r>
        <w:rPr>
          <w:szCs w:val="24"/>
          <w:lang w:eastAsia="lt-LT"/>
        </w:rPr>
        <w:t>vienodo požiūrio</w:t>
      </w:r>
      <w:r w:rsidRPr="0069663C">
        <w:rPr>
          <w:szCs w:val="24"/>
          <w:lang w:eastAsia="lt-LT"/>
        </w:rPr>
        <w:t xml:space="preserve">, skaidrumo ir kitais su </w:t>
      </w:r>
      <w:r>
        <w:rPr>
          <w:szCs w:val="24"/>
          <w:lang w:eastAsia="lt-LT"/>
        </w:rPr>
        <w:t xml:space="preserve">vertintojų </w:t>
      </w:r>
      <w:r w:rsidRPr="0069663C">
        <w:rPr>
          <w:szCs w:val="24"/>
          <w:lang w:eastAsia="lt-LT"/>
        </w:rPr>
        <w:t>vykdoma veikla susijusiais principais, nustatytais Lietuvos Respublikos teisės aktuose</w:t>
      </w:r>
      <w:r>
        <w:rPr>
          <w:snapToGrid w:val="0"/>
        </w:rPr>
        <w:t>.</w:t>
      </w:r>
    </w:p>
    <w:p w:rsidR="00B95DDB" w:rsidRDefault="00B95DDB" w:rsidP="00B95DDB">
      <w:pPr>
        <w:pStyle w:val="BodyText"/>
        <w:rPr>
          <w:snapToGrid w:val="0"/>
        </w:rPr>
      </w:pPr>
    </w:p>
    <w:p w:rsidR="00B95DDB" w:rsidRPr="007F459C" w:rsidRDefault="00B95DDB" w:rsidP="00B95DDB">
      <w:pPr>
        <w:pStyle w:val="BodyText"/>
        <w:rPr>
          <w:b/>
          <w:snapToGrid w:val="0"/>
        </w:rPr>
      </w:pPr>
      <w:r w:rsidRPr="007F459C">
        <w:rPr>
          <w:b/>
          <w:snapToGrid w:val="0"/>
        </w:rPr>
        <w:t>II.</w:t>
      </w:r>
      <w:r w:rsidRPr="007F459C">
        <w:rPr>
          <w:b/>
          <w:snapToGrid w:val="0"/>
        </w:rPr>
        <w:tab/>
        <w:t>Ekspertų atranka</w:t>
      </w:r>
    </w:p>
    <w:p w:rsidR="00B95DDB" w:rsidRDefault="00B95DDB" w:rsidP="00B95DDB">
      <w:pPr>
        <w:pStyle w:val="BodyText"/>
        <w:rPr>
          <w:snapToGrid w:val="0"/>
        </w:rPr>
      </w:pPr>
    </w:p>
    <w:p w:rsidR="00B95DDB" w:rsidRPr="00BA7BC6" w:rsidRDefault="00B95DDB" w:rsidP="00B95DDB">
      <w:pPr>
        <w:numPr>
          <w:ilvl w:val="0"/>
          <w:numId w:val="2"/>
        </w:numPr>
        <w:jc w:val="both"/>
        <w:rPr>
          <w:snapToGrid w:val="0"/>
          <w:sz w:val="24"/>
          <w:szCs w:val="24"/>
        </w:rPr>
      </w:pPr>
      <w:r>
        <w:rPr>
          <w:sz w:val="24"/>
          <w:szCs w:val="24"/>
        </w:rPr>
        <w:t>Kandidatas</w:t>
      </w:r>
      <w:r w:rsidRPr="004B5139">
        <w:rPr>
          <w:sz w:val="24"/>
          <w:szCs w:val="24"/>
        </w:rPr>
        <w:t xml:space="preserve"> į ekspert</w:t>
      </w:r>
      <w:r>
        <w:rPr>
          <w:sz w:val="24"/>
          <w:szCs w:val="24"/>
        </w:rPr>
        <w:t xml:space="preserve">us Fondui teikia savo gyvenimo aprašymą (CV, laisva forma) </w:t>
      </w:r>
      <w:r w:rsidRPr="004B5139">
        <w:rPr>
          <w:sz w:val="24"/>
          <w:szCs w:val="24"/>
        </w:rPr>
        <w:t xml:space="preserve">ir </w:t>
      </w:r>
      <w:r>
        <w:rPr>
          <w:sz w:val="24"/>
          <w:szCs w:val="24"/>
        </w:rPr>
        <w:t xml:space="preserve">užpildytą paraišką tapti Aktyvių piliečių fondo projektų koncepcijų ir išsamių projektų paraiškų vertintoju 2021-2022 m. elektroniniu paštu </w:t>
      </w:r>
      <w:hyperlink r:id="rId7" w:history="1">
        <w:r w:rsidRPr="005B1C55">
          <w:rPr>
            <w:rStyle w:val="Hyperlink"/>
            <w:sz w:val="24"/>
            <w:szCs w:val="24"/>
          </w:rPr>
          <w:t>info@apf.lt</w:t>
        </w:r>
      </w:hyperlink>
      <w:r>
        <w:rPr>
          <w:sz w:val="24"/>
          <w:szCs w:val="24"/>
        </w:rPr>
        <w:t>.</w:t>
      </w:r>
    </w:p>
    <w:p w:rsidR="00B95DDB" w:rsidRPr="00AF7121" w:rsidRDefault="00B95DDB" w:rsidP="00B95DDB">
      <w:pPr>
        <w:numPr>
          <w:ilvl w:val="0"/>
          <w:numId w:val="2"/>
        </w:numPr>
        <w:jc w:val="both"/>
        <w:rPr>
          <w:snapToGrid w:val="0"/>
          <w:sz w:val="24"/>
          <w:szCs w:val="24"/>
        </w:rPr>
      </w:pPr>
      <w:r w:rsidRPr="00AF7121">
        <w:rPr>
          <w:sz w:val="24"/>
          <w:szCs w:val="24"/>
        </w:rPr>
        <w:t>Fondo operatoriaus valdyba įvertina ir reitinguoja kandidatų paraiškas. Aukščiausiai įvertinti 20 kandidatų bus pakviesti į antrąjį</w:t>
      </w:r>
      <w:r>
        <w:rPr>
          <w:sz w:val="24"/>
          <w:szCs w:val="24"/>
        </w:rPr>
        <w:t xml:space="preserve"> atrankos etapą pokalbiui. Po po</w:t>
      </w:r>
      <w:r w:rsidRPr="00AF7121">
        <w:rPr>
          <w:sz w:val="24"/>
          <w:szCs w:val="24"/>
        </w:rPr>
        <w:t>kalbių</w:t>
      </w:r>
      <w:r>
        <w:rPr>
          <w:sz w:val="24"/>
          <w:szCs w:val="24"/>
        </w:rPr>
        <w:t xml:space="preserve"> Fondo operatoriaus valdyba </w:t>
      </w:r>
      <w:r w:rsidRPr="00AF7121">
        <w:rPr>
          <w:sz w:val="24"/>
          <w:szCs w:val="24"/>
        </w:rPr>
        <w:t>priim</w:t>
      </w:r>
      <w:r>
        <w:rPr>
          <w:sz w:val="24"/>
          <w:szCs w:val="24"/>
        </w:rPr>
        <w:t>a</w:t>
      </w:r>
      <w:r w:rsidRPr="00AF7121">
        <w:rPr>
          <w:sz w:val="24"/>
          <w:szCs w:val="24"/>
        </w:rPr>
        <w:t xml:space="preserve"> galutin</w:t>
      </w:r>
      <w:r>
        <w:rPr>
          <w:sz w:val="24"/>
          <w:szCs w:val="24"/>
        </w:rPr>
        <w:t>į</w:t>
      </w:r>
      <w:r w:rsidRPr="00AF7121">
        <w:rPr>
          <w:sz w:val="24"/>
          <w:szCs w:val="24"/>
        </w:rPr>
        <w:t xml:space="preserve"> sprendim</w:t>
      </w:r>
      <w:r>
        <w:rPr>
          <w:sz w:val="24"/>
          <w:szCs w:val="24"/>
        </w:rPr>
        <w:t xml:space="preserve">ą. </w:t>
      </w:r>
      <w:r w:rsidRPr="00AF7121">
        <w:rPr>
          <w:sz w:val="24"/>
          <w:szCs w:val="24"/>
        </w:rPr>
        <w:t>Apie atr</w:t>
      </w:r>
      <w:r>
        <w:rPr>
          <w:sz w:val="24"/>
          <w:szCs w:val="24"/>
        </w:rPr>
        <w:t>a</w:t>
      </w:r>
      <w:r w:rsidRPr="00AF7121">
        <w:rPr>
          <w:sz w:val="24"/>
          <w:szCs w:val="24"/>
        </w:rPr>
        <w:t xml:space="preserve">nkos rezultatus </w:t>
      </w:r>
      <w:r>
        <w:rPr>
          <w:sz w:val="24"/>
          <w:szCs w:val="24"/>
        </w:rPr>
        <w:t>kandidatai į ekspertus,</w:t>
      </w:r>
      <w:r w:rsidRPr="00AF7121">
        <w:rPr>
          <w:sz w:val="24"/>
          <w:szCs w:val="24"/>
        </w:rPr>
        <w:t xml:space="preserve"> dalyvavę atrankoje</w:t>
      </w:r>
      <w:r>
        <w:rPr>
          <w:sz w:val="24"/>
          <w:szCs w:val="24"/>
        </w:rPr>
        <w:t>,</w:t>
      </w:r>
      <w:r w:rsidRPr="00AF7121">
        <w:rPr>
          <w:sz w:val="24"/>
          <w:szCs w:val="24"/>
        </w:rPr>
        <w:t xml:space="preserve"> gaus pranešimus elektroniniu paštu.</w:t>
      </w:r>
      <w:r w:rsidRPr="00D50F7F">
        <w:rPr>
          <w:sz w:val="24"/>
          <w:szCs w:val="24"/>
        </w:rPr>
        <w:t xml:space="preserve"> </w:t>
      </w:r>
      <w:r>
        <w:rPr>
          <w:sz w:val="24"/>
          <w:szCs w:val="24"/>
        </w:rPr>
        <w:t xml:space="preserve">Planuojama atrinkti </w:t>
      </w:r>
      <w:r w:rsidRPr="00AF7121">
        <w:rPr>
          <w:sz w:val="24"/>
          <w:szCs w:val="24"/>
        </w:rPr>
        <w:t>nuo 15 iki 20 ekspertų</w:t>
      </w:r>
      <w:r>
        <w:rPr>
          <w:sz w:val="24"/>
          <w:szCs w:val="24"/>
        </w:rPr>
        <w:t>.</w:t>
      </w:r>
    </w:p>
    <w:p w:rsidR="00B95DDB" w:rsidRDefault="00B95DDB" w:rsidP="00B95DDB">
      <w:pPr>
        <w:numPr>
          <w:ilvl w:val="0"/>
          <w:numId w:val="2"/>
        </w:numPr>
        <w:jc w:val="both"/>
        <w:rPr>
          <w:sz w:val="24"/>
          <w:szCs w:val="24"/>
        </w:rPr>
      </w:pPr>
      <w:r w:rsidRPr="00AF7121">
        <w:rPr>
          <w:sz w:val="24"/>
          <w:szCs w:val="24"/>
        </w:rPr>
        <w:t xml:space="preserve">Neatrinkti kandidatai bus įtraukti į rezervinį sąrašą. </w:t>
      </w:r>
    </w:p>
    <w:p w:rsidR="00B95DDB" w:rsidRPr="00AF7121" w:rsidRDefault="00B95DDB" w:rsidP="00B95DDB">
      <w:pPr>
        <w:numPr>
          <w:ilvl w:val="0"/>
          <w:numId w:val="2"/>
        </w:numPr>
        <w:jc w:val="both"/>
        <w:rPr>
          <w:sz w:val="24"/>
          <w:szCs w:val="24"/>
        </w:rPr>
      </w:pPr>
      <w:r w:rsidRPr="00AF7121">
        <w:rPr>
          <w:sz w:val="24"/>
          <w:szCs w:val="24"/>
        </w:rPr>
        <w:t xml:space="preserve">Su atrinktais ekspertais pasirašoma paslaugų sutartis, jie pateikia pasirašytą </w:t>
      </w:r>
      <w:r>
        <w:rPr>
          <w:sz w:val="24"/>
          <w:szCs w:val="24"/>
        </w:rPr>
        <w:t>I</w:t>
      </w:r>
      <w:r w:rsidRPr="00AF7121">
        <w:rPr>
          <w:sz w:val="24"/>
          <w:szCs w:val="24"/>
        </w:rPr>
        <w:t>nteresų konflikto deklaraciją</w:t>
      </w:r>
      <w:r>
        <w:rPr>
          <w:sz w:val="24"/>
          <w:szCs w:val="24"/>
        </w:rPr>
        <w:t xml:space="preserve"> (priedas Nr. 1)</w:t>
      </w:r>
      <w:r w:rsidRPr="00AF7121">
        <w:rPr>
          <w:sz w:val="24"/>
          <w:szCs w:val="24"/>
        </w:rPr>
        <w:t xml:space="preserve"> bei </w:t>
      </w:r>
      <w:r>
        <w:rPr>
          <w:sz w:val="24"/>
          <w:szCs w:val="24"/>
        </w:rPr>
        <w:t>N</w:t>
      </w:r>
      <w:r w:rsidRPr="00AF7121">
        <w:rPr>
          <w:sz w:val="24"/>
          <w:szCs w:val="24"/>
        </w:rPr>
        <w:t>ešališkumo ir konfidencialumo deklaraciją</w:t>
      </w:r>
      <w:r>
        <w:rPr>
          <w:sz w:val="24"/>
          <w:szCs w:val="24"/>
        </w:rPr>
        <w:t xml:space="preserve"> (priedas Nr.2)</w:t>
      </w:r>
      <w:r w:rsidRPr="00AF7121">
        <w:rPr>
          <w:sz w:val="24"/>
          <w:szCs w:val="24"/>
        </w:rPr>
        <w:t xml:space="preserve">. </w:t>
      </w:r>
    </w:p>
    <w:p w:rsidR="00B95DDB" w:rsidRDefault="00B95DDB" w:rsidP="00B95DDB">
      <w:pPr>
        <w:numPr>
          <w:ilvl w:val="0"/>
          <w:numId w:val="2"/>
        </w:numPr>
        <w:jc w:val="both"/>
        <w:rPr>
          <w:sz w:val="24"/>
          <w:szCs w:val="24"/>
        </w:rPr>
      </w:pPr>
      <w:r w:rsidRPr="00AF7121">
        <w:rPr>
          <w:sz w:val="24"/>
          <w:szCs w:val="24"/>
        </w:rPr>
        <w:t xml:space="preserve">Atrinktiems ekspertams bus surengti </w:t>
      </w:r>
      <w:r>
        <w:rPr>
          <w:sz w:val="24"/>
          <w:szCs w:val="24"/>
        </w:rPr>
        <w:t>privalomi vienos</w:t>
      </w:r>
      <w:r w:rsidRPr="00AF7121">
        <w:rPr>
          <w:sz w:val="24"/>
          <w:szCs w:val="24"/>
        </w:rPr>
        <w:t xml:space="preserve"> dienos mokymai</w:t>
      </w:r>
      <w:r>
        <w:rPr>
          <w:sz w:val="24"/>
          <w:szCs w:val="24"/>
        </w:rPr>
        <w:t>, kurių metu ekspertai bus</w:t>
      </w:r>
      <w:r w:rsidRPr="00AF7121">
        <w:rPr>
          <w:sz w:val="24"/>
          <w:szCs w:val="24"/>
        </w:rPr>
        <w:t xml:space="preserve"> supažindin</w:t>
      </w:r>
      <w:r>
        <w:rPr>
          <w:sz w:val="24"/>
          <w:szCs w:val="24"/>
        </w:rPr>
        <w:t>ti</w:t>
      </w:r>
      <w:r w:rsidRPr="00AF7121">
        <w:rPr>
          <w:sz w:val="24"/>
          <w:szCs w:val="24"/>
        </w:rPr>
        <w:t xml:space="preserve"> </w:t>
      </w:r>
      <w:r w:rsidRPr="00C31D2A">
        <w:rPr>
          <w:sz w:val="24"/>
          <w:szCs w:val="24"/>
        </w:rPr>
        <w:t>su EEE 2014 – 2021 m.</w:t>
      </w:r>
      <w:r w:rsidRPr="00C31D2A">
        <w:rPr>
          <w:szCs w:val="24"/>
        </w:rPr>
        <w:t xml:space="preserve"> </w:t>
      </w:r>
      <w:r w:rsidRPr="00C05B1C">
        <w:rPr>
          <w:szCs w:val="24"/>
        </w:rPr>
        <w:t xml:space="preserve"> </w:t>
      </w:r>
      <w:r>
        <w:rPr>
          <w:sz w:val="24"/>
          <w:szCs w:val="24"/>
        </w:rPr>
        <w:t xml:space="preserve">finansinio mechanizmo tikslais, </w:t>
      </w:r>
      <w:r w:rsidRPr="00AF7121">
        <w:rPr>
          <w:sz w:val="24"/>
          <w:szCs w:val="24"/>
        </w:rPr>
        <w:t xml:space="preserve">konkurso tikslais, numatoma darbo organizavimo tvarka, paraiškų vertinimo kriterijais ir </w:t>
      </w:r>
      <w:r>
        <w:rPr>
          <w:sz w:val="24"/>
          <w:szCs w:val="24"/>
        </w:rPr>
        <w:t>vertinimo formomis</w:t>
      </w:r>
      <w:r w:rsidRPr="00AF7121">
        <w:rPr>
          <w:sz w:val="24"/>
          <w:szCs w:val="24"/>
        </w:rPr>
        <w:t>, aptar</w:t>
      </w:r>
      <w:r>
        <w:rPr>
          <w:sz w:val="24"/>
          <w:szCs w:val="24"/>
        </w:rPr>
        <w:t>tos</w:t>
      </w:r>
      <w:r w:rsidRPr="00AF7121">
        <w:rPr>
          <w:sz w:val="24"/>
          <w:szCs w:val="24"/>
        </w:rPr>
        <w:t xml:space="preserve"> naudojam</w:t>
      </w:r>
      <w:r>
        <w:rPr>
          <w:sz w:val="24"/>
          <w:szCs w:val="24"/>
        </w:rPr>
        <w:t>o</w:t>
      </w:r>
      <w:r w:rsidRPr="00AF7121">
        <w:rPr>
          <w:sz w:val="24"/>
          <w:szCs w:val="24"/>
        </w:rPr>
        <w:t>s sąvok</w:t>
      </w:r>
      <w:r>
        <w:rPr>
          <w:sz w:val="24"/>
          <w:szCs w:val="24"/>
        </w:rPr>
        <w:t>os bei jų reikšmės</w:t>
      </w:r>
      <w:r w:rsidRPr="00AF7121">
        <w:rPr>
          <w:sz w:val="24"/>
          <w:szCs w:val="24"/>
        </w:rPr>
        <w:t>, vertinimo ypatum</w:t>
      </w:r>
      <w:r>
        <w:rPr>
          <w:sz w:val="24"/>
          <w:szCs w:val="24"/>
        </w:rPr>
        <w:t>ai, kitos aplinkybė</w:t>
      </w:r>
      <w:r w:rsidRPr="00AF7121">
        <w:rPr>
          <w:sz w:val="24"/>
          <w:szCs w:val="24"/>
        </w:rPr>
        <w:t>s, atsako</w:t>
      </w:r>
      <w:r>
        <w:rPr>
          <w:sz w:val="24"/>
          <w:szCs w:val="24"/>
        </w:rPr>
        <w:t>ma į ekspertų klausimus.</w:t>
      </w:r>
    </w:p>
    <w:p w:rsidR="00B95DDB" w:rsidRPr="00AF7121" w:rsidRDefault="00B95DDB" w:rsidP="00B95DDB">
      <w:pPr>
        <w:numPr>
          <w:ilvl w:val="0"/>
          <w:numId w:val="2"/>
        </w:numPr>
        <w:jc w:val="both"/>
        <w:rPr>
          <w:sz w:val="24"/>
          <w:szCs w:val="24"/>
        </w:rPr>
      </w:pPr>
      <w:r>
        <w:rPr>
          <w:sz w:val="24"/>
          <w:szCs w:val="24"/>
        </w:rPr>
        <w:t>Po pirmojo vertinimo etapo ekspertams bus surengtas vertinimo patirties aptarimo susitikimas, kurio metu bus aptarti vertinimo metu kilę sunkumai ir vertinimo specifika.</w:t>
      </w:r>
    </w:p>
    <w:p w:rsidR="00B95DDB" w:rsidRDefault="00B95DDB" w:rsidP="00B95DDB">
      <w:pPr>
        <w:ind w:left="360"/>
        <w:jc w:val="both"/>
        <w:rPr>
          <w:sz w:val="24"/>
          <w:szCs w:val="24"/>
        </w:rPr>
      </w:pPr>
    </w:p>
    <w:p w:rsidR="00B95DDB" w:rsidRPr="00AF7121" w:rsidRDefault="00B95DDB" w:rsidP="00B95DDB">
      <w:pPr>
        <w:jc w:val="both"/>
        <w:rPr>
          <w:b/>
          <w:sz w:val="24"/>
          <w:szCs w:val="24"/>
        </w:rPr>
      </w:pPr>
      <w:r w:rsidRPr="00AF7121">
        <w:rPr>
          <w:b/>
          <w:sz w:val="24"/>
          <w:szCs w:val="24"/>
        </w:rPr>
        <w:t>III.</w:t>
      </w:r>
      <w:r w:rsidRPr="00AF7121">
        <w:rPr>
          <w:b/>
          <w:sz w:val="24"/>
          <w:szCs w:val="24"/>
        </w:rPr>
        <w:tab/>
        <w:t xml:space="preserve">Projektų koncepcijų ir išsamių </w:t>
      </w:r>
      <w:r>
        <w:rPr>
          <w:b/>
          <w:sz w:val="24"/>
          <w:szCs w:val="24"/>
        </w:rPr>
        <w:t xml:space="preserve">projektų </w:t>
      </w:r>
      <w:r w:rsidRPr="00AF7121">
        <w:rPr>
          <w:b/>
          <w:sz w:val="24"/>
          <w:szCs w:val="24"/>
        </w:rPr>
        <w:t>paraiškų vertinimas</w:t>
      </w:r>
    </w:p>
    <w:p w:rsidR="00B95DDB" w:rsidRDefault="00B95DDB" w:rsidP="00B95DDB">
      <w:pPr>
        <w:jc w:val="both"/>
        <w:rPr>
          <w:sz w:val="24"/>
          <w:szCs w:val="24"/>
        </w:rPr>
      </w:pPr>
    </w:p>
    <w:p w:rsidR="00B95DDB" w:rsidRDefault="00B95DDB" w:rsidP="00B95DDB">
      <w:pPr>
        <w:numPr>
          <w:ilvl w:val="0"/>
          <w:numId w:val="2"/>
        </w:numPr>
        <w:jc w:val="both"/>
        <w:rPr>
          <w:sz w:val="24"/>
          <w:szCs w:val="24"/>
        </w:rPr>
      </w:pPr>
      <w:r w:rsidRPr="00AF7121">
        <w:rPr>
          <w:sz w:val="24"/>
          <w:szCs w:val="24"/>
        </w:rPr>
        <w:t>Vertinim</w:t>
      </w:r>
      <w:r>
        <w:rPr>
          <w:sz w:val="24"/>
          <w:szCs w:val="24"/>
        </w:rPr>
        <w:t>as</w:t>
      </w:r>
      <w:r w:rsidRPr="00AF7121">
        <w:rPr>
          <w:sz w:val="24"/>
          <w:szCs w:val="24"/>
        </w:rPr>
        <w:t xml:space="preserve"> bus atliekama</w:t>
      </w:r>
      <w:r>
        <w:rPr>
          <w:sz w:val="24"/>
          <w:szCs w:val="24"/>
        </w:rPr>
        <w:t>s</w:t>
      </w:r>
      <w:r w:rsidRPr="00AF7121">
        <w:rPr>
          <w:sz w:val="24"/>
          <w:szCs w:val="24"/>
        </w:rPr>
        <w:t xml:space="preserve"> </w:t>
      </w:r>
      <w:r>
        <w:rPr>
          <w:sz w:val="24"/>
          <w:szCs w:val="24"/>
        </w:rPr>
        <w:t>dviem</w:t>
      </w:r>
      <w:r w:rsidRPr="00AF7121">
        <w:rPr>
          <w:sz w:val="24"/>
          <w:szCs w:val="24"/>
        </w:rPr>
        <w:t xml:space="preserve"> etapais:</w:t>
      </w:r>
    </w:p>
    <w:p w:rsidR="00B95DDB" w:rsidRDefault="00B95DDB" w:rsidP="00B95DDB">
      <w:pPr>
        <w:numPr>
          <w:ilvl w:val="1"/>
          <w:numId w:val="2"/>
        </w:numPr>
        <w:tabs>
          <w:tab w:val="left" w:pos="993"/>
        </w:tabs>
        <w:jc w:val="both"/>
        <w:rPr>
          <w:sz w:val="24"/>
          <w:szCs w:val="24"/>
        </w:rPr>
      </w:pPr>
      <w:r>
        <w:rPr>
          <w:sz w:val="24"/>
          <w:szCs w:val="24"/>
        </w:rPr>
        <w:t xml:space="preserve">I etapas – projektų koncepcijų vertinimas vyks </w:t>
      </w:r>
      <w:r w:rsidRPr="00AF7121">
        <w:rPr>
          <w:sz w:val="24"/>
          <w:szCs w:val="24"/>
        </w:rPr>
        <w:t>202</w:t>
      </w:r>
      <w:r>
        <w:rPr>
          <w:sz w:val="24"/>
          <w:szCs w:val="24"/>
        </w:rPr>
        <w:t>1</w:t>
      </w:r>
      <w:r w:rsidRPr="00AF7121">
        <w:rPr>
          <w:sz w:val="24"/>
          <w:szCs w:val="24"/>
        </w:rPr>
        <w:t xml:space="preserve"> m. </w:t>
      </w:r>
      <w:r>
        <w:rPr>
          <w:sz w:val="24"/>
          <w:szCs w:val="24"/>
        </w:rPr>
        <w:t>spalio - lapkričio</w:t>
      </w:r>
      <w:r w:rsidRPr="00AF7121">
        <w:rPr>
          <w:sz w:val="24"/>
          <w:szCs w:val="24"/>
        </w:rPr>
        <w:t xml:space="preserve"> mėnesiais</w:t>
      </w:r>
      <w:r>
        <w:rPr>
          <w:sz w:val="24"/>
          <w:szCs w:val="24"/>
        </w:rPr>
        <w:t>;</w:t>
      </w:r>
    </w:p>
    <w:p w:rsidR="00B95DDB" w:rsidRDefault="00B95DDB" w:rsidP="00B95DDB">
      <w:pPr>
        <w:numPr>
          <w:ilvl w:val="1"/>
          <w:numId w:val="2"/>
        </w:numPr>
        <w:tabs>
          <w:tab w:val="left" w:pos="993"/>
        </w:tabs>
        <w:jc w:val="both"/>
        <w:rPr>
          <w:sz w:val="24"/>
          <w:szCs w:val="24"/>
        </w:rPr>
      </w:pPr>
      <w:r w:rsidRPr="00AF7121">
        <w:rPr>
          <w:sz w:val="24"/>
          <w:szCs w:val="24"/>
        </w:rPr>
        <w:t>II etapas – išsamių projektų paraiškų vertinimas</w:t>
      </w:r>
      <w:r>
        <w:rPr>
          <w:sz w:val="24"/>
          <w:szCs w:val="24"/>
        </w:rPr>
        <w:t xml:space="preserve"> vyks</w:t>
      </w:r>
      <w:r w:rsidRPr="00AF7121">
        <w:rPr>
          <w:sz w:val="24"/>
          <w:szCs w:val="24"/>
        </w:rPr>
        <w:t xml:space="preserve"> 202</w:t>
      </w:r>
      <w:r>
        <w:rPr>
          <w:sz w:val="24"/>
          <w:szCs w:val="24"/>
        </w:rPr>
        <w:t>2</w:t>
      </w:r>
      <w:r w:rsidRPr="00AF7121">
        <w:rPr>
          <w:sz w:val="24"/>
          <w:szCs w:val="24"/>
        </w:rPr>
        <w:t xml:space="preserve"> m. </w:t>
      </w:r>
      <w:r>
        <w:rPr>
          <w:sz w:val="24"/>
          <w:szCs w:val="24"/>
        </w:rPr>
        <w:t>vasario - kovo</w:t>
      </w:r>
      <w:r w:rsidRPr="00AF7121">
        <w:rPr>
          <w:sz w:val="24"/>
          <w:szCs w:val="24"/>
        </w:rPr>
        <w:t xml:space="preserve"> mėnesiais</w:t>
      </w:r>
      <w:r>
        <w:rPr>
          <w:sz w:val="24"/>
          <w:szCs w:val="24"/>
        </w:rPr>
        <w:t>.</w:t>
      </w:r>
    </w:p>
    <w:p w:rsidR="00B95DDB" w:rsidRDefault="00B95DDB" w:rsidP="00B95DDB">
      <w:pPr>
        <w:numPr>
          <w:ilvl w:val="0"/>
          <w:numId w:val="2"/>
        </w:numPr>
        <w:jc w:val="both"/>
        <w:rPr>
          <w:sz w:val="24"/>
          <w:szCs w:val="24"/>
        </w:rPr>
      </w:pPr>
      <w:r w:rsidRPr="00AF7121">
        <w:rPr>
          <w:sz w:val="24"/>
          <w:szCs w:val="24"/>
        </w:rPr>
        <w:t>Maksimalus planuojamas vertinamų paraiškų kiekis</w:t>
      </w:r>
      <w:r>
        <w:rPr>
          <w:sz w:val="24"/>
          <w:szCs w:val="24"/>
        </w:rPr>
        <w:t xml:space="preserve"> vienam ekspertui</w:t>
      </w:r>
      <w:r w:rsidRPr="00AF7121">
        <w:rPr>
          <w:sz w:val="24"/>
          <w:szCs w:val="24"/>
        </w:rPr>
        <w:t xml:space="preserve"> – iki </w:t>
      </w:r>
      <w:r w:rsidR="0072352A">
        <w:rPr>
          <w:sz w:val="24"/>
          <w:szCs w:val="24"/>
        </w:rPr>
        <w:t>3</w:t>
      </w:r>
      <w:r w:rsidRPr="00AF7121">
        <w:rPr>
          <w:sz w:val="24"/>
          <w:szCs w:val="24"/>
        </w:rPr>
        <w:t xml:space="preserve">0 </w:t>
      </w:r>
      <w:r>
        <w:rPr>
          <w:sz w:val="24"/>
          <w:szCs w:val="24"/>
        </w:rPr>
        <w:t xml:space="preserve">projekto koncepcijų </w:t>
      </w:r>
      <w:r w:rsidRPr="00AF7121">
        <w:rPr>
          <w:sz w:val="24"/>
          <w:szCs w:val="24"/>
        </w:rPr>
        <w:t>paraiškų</w:t>
      </w:r>
      <w:r>
        <w:rPr>
          <w:sz w:val="24"/>
          <w:szCs w:val="24"/>
        </w:rPr>
        <w:t xml:space="preserve"> ir iki 30 išsamių paraiškų</w:t>
      </w:r>
      <w:r w:rsidRPr="00AF7121">
        <w:rPr>
          <w:sz w:val="24"/>
          <w:szCs w:val="24"/>
        </w:rPr>
        <w:t>.</w:t>
      </w:r>
    </w:p>
    <w:p w:rsidR="00B95DDB" w:rsidRDefault="00B95DDB" w:rsidP="00B95DDB">
      <w:pPr>
        <w:numPr>
          <w:ilvl w:val="0"/>
          <w:numId w:val="2"/>
        </w:numPr>
        <w:jc w:val="both"/>
        <w:rPr>
          <w:sz w:val="24"/>
          <w:szCs w:val="24"/>
        </w:rPr>
      </w:pPr>
      <w:r w:rsidRPr="00AF7121">
        <w:rPr>
          <w:sz w:val="24"/>
          <w:szCs w:val="24"/>
        </w:rPr>
        <w:t>Paraiškos vertinimo maksimalūs įkainiai</w:t>
      </w:r>
      <w:r>
        <w:rPr>
          <w:sz w:val="24"/>
          <w:szCs w:val="24"/>
        </w:rPr>
        <w:t xml:space="preserve"> su mokesčiais</w:t>
      </w:r>
      <w:r w:rsidRPr="00AF7121">
        <w:rPr>
          <w:sz w:val="24"/>
          <w:szCs w:val="24"/>
        </w:rPr>
        <w:t>:</w:t>
      </w:r>
      <w:r>
        <w:rPr>
          <w:sz w:val="24"/>
          <w:szCs w:val="24"/>
        </w:rPr>
        <w:t xml:space="preserve"> </w:t>
      </w:r>
      <w:bookmarkStart w:id="0" w:name="_GoBack"/>
      <w:bookmarkEnd w:id="0"/>
    </w:p>
    <w:p w:rsidR="00B95DDB" w:rsidRPr="00AF7121" w:rsidRDefault="00B95DDB" w:rsidP="00B95DDB">
      <w:pPr>
        <w:numPr>
          <w:ilvl w:val="1"/>
          <w:numId w:val="2"/>
        </w:numPr>
        <w:tabs>
          <w:tab w:val="left" w:pos="993"/>
        </w:tabs>
        <w:jc w:val="both"/>
        <w:rPr>
          <w:sz w:val="24"/>
          <w:szCs w:val="24"/>
        </w:rPr>
      </w:pPr>
      <w:r w:rsidRPr="00AF7121">
        <w:rPr>
          <w:sz w:val="24"/>
          <w:szCs w:val="24"/>
        </w:rPr>
        <w:t xml:space="preserve">už vienos projekto koncepcijos paraiškos vertinimą mokama </w:t>
      </w:r>
      <w:r>
        <w:rPr>
          <w:sz w:val="24"/>
          <w:szCs w:val="24"/>
        </w:rPr>
        <w:t>20</w:t>
      </w:r>
      <w:r w:rsidRPr="00AF7121">
        <w:rPr>
          <w:sz w:val="24"/>
          <w:szCs w:val="24"/>
        </w:rPr>
        <w:t xml:space="preserve"> </w:t>
      </w:r>
      <w:proofErr w:type="spellStart"/>
      <w:r w:rsidRPr="00AF7121">
        <w:rPr>
          <w:sz w:val="24"/>
          <w:szCs w:val="24"/>
        </w:rPr>
        <w:t>Eur</w:t>
      </w:r>
      <w:proofErr w:type="spellEnd"/>
      <w:r w:rsidRPr="00AF7121">
        <w:rPr>
          <w:sz w:val="24"/>
          <w:szCs w:val="24"/>
        </w:rPr>
        <w:t>;</w:t>
      </w:r>
    </w:p>
    <w:p w:rsidR="00B95DDB" w:rsidRDefault="00B95DDB" w:rsidP="00B95DDB">
      <w:pPr>
        <w:numPr>
          <w:ilvl w:val="1"/>
          <w:numId w:val="2"/>
        </w:numPr>
        <w:tabs>
          <w:tab w:val="left" w:pos="993"/>
        </w:tabs>
        <w:jc w:val="both"/>
        <w:rPr>
          <w:sz w:val="24"/>
          <w:szCs w:val="24"/>
        </w:rPr>
      </w:pPr>
      <w:r w:rsidRPr="00AF7121">
        <w:rPr>
          <w:sz w:val="24"/>
          <w:szCs w:val="24"/>
        </w:rPr>
        <w:t xml:space="preserve">už vienos </w:t>
      </w:r>
      <w:r>
        <w:rPr>
          <w:sz w:val="24"/>
          <w:szCs w:val="24"/>
        </w:rPr>
        <w:t>išsamios</w:t>
      </w:r>
      <w:r w:rsidRPr="00AF7121">
        <w:rPr>
          <w:sz w:val="24"/>
          <w:szCs w:val="24"/>
        </w:rPr>
        <w:t xml:space="preserve"> projekto paraiškos vertinimą mokama 3</w:t>
      </w:r>
      <w:r>
        <w:rPr>
          <w:sz w:val="24"/>
          <w:szCs w:val="24"/>
        </w:rPr>
        <w:t>5</w:t>
      </w:r>
      <w:r w:rsidRPr="00AF7121">
        <w:rPr>
          <w:sz w:val="24"/>
          <w:szCs w:val="24"/>
        </w:rPr>
        <w:t xml:space="preserve"> </w:t>
      </w:r>
      <w:proofErr w:type="spellStart"/>
      <w:r w:rsidRPr="00AF7121">
        <w:rPr>
          <w:sz w:val="24"/>
          <w:szCs w:val="24"/>
        </w:rPr>
        <w:t>Eur</w:t>
      </w:r>
      <w:proofErr w:type="spellEnd"/>
      <w:r w:rsidRPr="00AF7121">
        <w:rPr>
          <w:sz w:val="24"/>
          <w:szCs w:val="24"/>
        </w:rPr>
        <w:t>;</w:t>
      </w:r>
    </w:p>
    <w:p w:rsidR="00B95DDB" w:rsidRDefault="00B95DDB" w:rsidP="00B95DDB">
      <w:pPr>
        <w:numPr>
          <w:ilvl w:val="0"/>
          <w:numId w:val="2"/>
        </w:numPr>
        <w:jc w:val="both"/>
        <w:rPr>
          <w:snapToGrid w:val="0"/>
          <w:sz w:val="24"/>
        </w:rPr>
      </w:pPr>
      <w:r>
        <w:rPr>
          <w:snapToGrid w:val="0"/>
          <w:sz w:val="24"/>
        </w:rPr>
        <w:t xml:space="preserve">Ekspertai </w:t>
      </w:r>
      <w:r w:rsidRPr="006E3D7A">
        <w:rPr>
          <w:snapToGrid w:val="0"/>
          <w:sz w:val="24"/>
          <w:szCs w:val="24"/>
        </w:rPr>
        <w:t>balais</w:t>
      </w:r>
      <w:r>
        <w:rPr>
          <w:snapToGrid w:val="0"/>
          <w:sz w:val="24"/>
        </w:rPr>
        <w:t xml:space="preserve"> vertina projektų koncepcijas ir išsamias projektų paraiškas, vadovaudamiesi nustatytais kokybės vertinimo kriterijais (žr. Gaires pareiškėjams).</w:t>
      </w:r>
      <w:r w:rsidRPr="00BC3157">
        <w:rPr>
          <w:snapToGrid w:val="0"/>
          <w:sz w:val="24"/>
        </w:rPr>
        <w:t xml:space="preserve"> </w:t>
      </w:r>
      <w:r>
        <w:rPr>
          <w:snapToGrid w:val="0"/>
          <w:sz w:val="24"/>
        </w:rPr>
        <w:t>Ekspertų vertinimui pateikiamos administracinės atitikties ir tinkamumo kriterijus atitinkančių projektų, parengtų lietuvių  kalba, elektroninės paraiškų kopijos.</w:t>
      </w:r>
    </w:p>
    <w:p w:rsidR="00B95DDB" w:rsidRDefault="00B95DDB" w:rsidP="00B95DDB">
      <w:pPr>
        <w:numPr>
          <w:ilvl w:val="0"/>
          <w:numId w:val="2"/>
        </w:numPr>
        <w:jc w:val="both"/>
        <w:rPr>
          <w:snapToGrid w:val="0"/>
          <w:sz w:val="24"/>
        </w:rPr>
      </w:pPr>
      <w:r>
        <w:rPr>
          <w:snapToGrid w:val="0"/>
          <w:sz w:val="24"/>
        </w:rPr>
        <w:lastRenderedPageBreak/>
        <w:t>Remdamasis pateiktais ekspertų vertinimais, Fondo programos vadovas apskaičiuoja kiekvieno projekto koncepcijos ar išsamios projekto paraiškos vertinimo balų vidurkį ir pagal apskaičiuotą vidurį sureitinguoja projektus.</w:t>
      </w:r>
    </w:p>
    <w:p w:rsidR="00B95DDB" w:rsidRDefault="00B95DDB" w:rsidP="00B95DDB">
      <w:pPr>
        <w:numPr>
          <w:ilvl w:val="0"/>
          <w:numId w:val="2"/>
        </w:numPr>
        <w:jc w:val="both"/>
        <w:rPr>
          <w:snapToGrid w:val="0"/>
          <w:sz w:val="24"/>
        </w:rPr>
      </w:pPr>
      <w:r>
        <w:rPr>
          <w:snapToGrid w:val="0"/>
          <w:sz w:val="24"/>
        </w:rPr>
        <w:t>Projektų koncepcijos ir išsamios projektų paraiškos, kurių vidurkis yra 60 ir daugiau balų, perduodamo Fondo Atrankos komiteto vertinimui.</w:t>
      </w:r>
    </w:p>
    <w:p w:rsidR="00B95DDB" w:rsidRDefault="00B95DDB" w:rsidP="00B95DDB">
      <w:pPr>
        <w:numPr>
          <w:ilvl w:val="0"/>
          <w:numId w:val="2"/>
        </w:numPr>
        <w:jc w:val="both"/>
        <w:rPr>
          <w:snapToGrid w:val="0"/>
          <w:sz w:val="24"/>
        </w:rPr>
      </w:pPr>
      <w:r>
        <w:rPr>
          <w:snapToGrid w:val="0"/>
          <w:sz w:val="24"/>
        </w:rPr>
        <w:t>Remdamasis pateiktais reitinguotais sąrašais ir ekspertų vertinimais, išvadomis bei rekomendacijomis, Fondo Atrankos komitetas sudaro siūlomų ir nesiūlomų tolesniam vystymui projektų koncepcijų bei siūlomų ir nesiūlomų finansavimui išsamių projektų paraiškų sąrašus.</w:t>
      </w:r>
    </w:p>
    <w:p w:rsidR="00B95DDB" w:rsidRDefault="00B95DDB" w:rsidP="00B95DDB">
      <w:pPr>
        <w:numPr>
          <w:ilvl w:val="0"/>
          <w:numId w:val="2"/>
        </w:numPr>
        <w:jc w:val="both"/>
        <w:rPr>
          <w:snapToGrid w:val="0"/>
          <w:sz w:val="24"/>
        </w:rPr>
      </w:pPr>
      <w:r>
        <w:rPr>
          <w:snapToGrid w:val="0"/>
          <w:sz w:val="24"/>
        </w:rPr>
        <w:t>Fondo Atrankos komitetas gali sudaryti rezervinius projektų koncepcijų ir išsamių projektų paraiškų sąrašus, į kuriuos gali patekti į pirminius siūlomų tolesniam vystymui projektų koncepcijų ar siūlomų finansavimui išsamių projektų paraiškų sąrašus nepatekę, bet surinkę ne mažesnį kaip 60 balų vidurkį, projektai.</w:t>
      </w:r>
    </w:p>
    <w:p w:rsidR="00B95DDB" w:rsidRPr="001009B8" w:rsidRDefault="00B95DDB" w:rsidP="00B95DDB">
      <w:pPr>
        <w:numPr>
          <w:ilvl w:val="0"/>
          <w:numId w:val="2"/>
        </w:numPr>
        <w:jc w:val="both"/>
        <w:rPr>
          <w:snapToGrid w:val="0"/>
          <w:sz w:val="24"/>
        </w:rPr>
      </w:pPr>
      <w:r>
        <w:rPr>
          <w:snapToGrid w:val="0"/>
          <w:sz w:val="24"/>
        </w:rPr>
        <w:t xml:space="preserve">Argumentuotu sprendimu </w:t>
      </w:r>
      <w:r w:rsidRPr="00AF7121">
        <w:rPr>
          <w:sz w:val="24"/>
          <w:szCs w:val="24"/>
        </w:rPr>
        <w:t xml:space="preserve">Fondo </w:t>
      </w:r>
      <w:r>
        <w:rPr>
          <w:sz w:val="24"/>
          <w:szCs w:val="24"/>
        </w:rPr>
        <w:t>Atrankos komitetas</w:t>
      </w:r>
      <w:r w:rsidRPr="00AF7121">
        <w:rPr>
          <w:sz w:val="24"/>
          <w:szCs w:val="24"/>
        </w:rPr>
        <w:t xml:space="preserve"> </w:t>
      </w:r>
      <w:r>
        <w:rPr>
          <w:snapToGrid w:val="0"/>
          <w:sz w:val="24"/>
        </w:rPr>
        <w:t>gali neatsižvelgti į ekspertų rekomendacijas.</w:t>
      </w:r>
    </w:p>
    <w:p w:rsidR="00B95DDB" w:rsidRDefault="00B95DDB" w:rsidP="00B95DDB">
      <w:pPr>
        <w:numPr>
          <w:ilvl w:val="0"/>
          <w:numId w:val="2"/>
        </w:numPr>
        <w:jc w:val="both"/>
        <w:rPr>
          <w:snapToGrid w:val="0"/>
          <w:sz w:val="24"/>
        </w:rPr>
      </w:pPr>
      <w:r w:rsidRPr="00AF7121">
        <w:rPr>
          <w:sz w:val="24"/>
          <w:szCs w:val="24"/>
        </w:rPr>
        <w:t xml:space="preserve">Fondo operatoriaus valdyba </w:t>
      </w:r>
      <w:r>
        <w:rPr>
          <w:snapToGrid w:val="0"/>
          <w:sz w:val="24"/>
        </w:rPr>
        <w:t>priima galutinį sprendimą dėl siūlomų ar nesiūlomų tolesniam vystymui projektų koncepcijų; projektų finansavimo ar nefinansavimo, remdamasi Atrankos komiteto pateiktomis rekomendacijomis.</w:t>
      </w:r>
      <w:r w:rsidRPr="00855045">
        <w:rPr>
          <w:snapToGrid w:val="0"/>
          <w:sz w:val="24"/>
        </w:rPr>
        <w:t xml:space="preserve"> </w:t>
      </w:r>
    </w:p>
    <w:p w:rsidR="00B95DDB" w:rsidRPr="00AF7121" w:rsidRDefault="00B95DDB" w:rsidP="00B95DDB">
      <w:pPr>
        <w:numPr>
          <w:ilvl w:val="0"/>
          <w:numId w:val="2"/>
        </w:numPr>
        <w:jc w:val="both"/>
        <w:rPr>
          <w:snapToGrid w:val="0"/>
          <w:sz w:val="24"/>
        </w:rPr>
      </w:pPr>
      <w:r>
        <w:rPr>
          <w:snapToGrid w:val="0"/>
          <w:sz w:val="24"/>
        </w:rPr>
        <w:t xml:space="preserve">Argumentuotu sprendimu </w:t>
      </w:r>
      <w:r w:rsidRPr="00AF7121">
        <w:rPr>
          <w:sz w:val="24"/>
          <w:szCs w:val="24"/>
        </w:rPr>
        <w:t xml:space="preserve">Fondo operatoriaus valdyba </w:t>
      </w:r>
      <w:r>
        <w:rPr>
          <w:snapToGrid w:val="0"/>
          <w:sz w:val="24"/>
        </w:rPr>
        <w:t>gali neatsižvelgti į Atrankos komiteto rekomendacijas.</w:t>
      </w:r>
    </w:p>
    <w:p w:rsidR="00B95DDB" w:rsidRDefault="00B95DDB" w:rsidP="00B95DDB">
      <w:pPr>
        <w:numPr>
          <w:ilvl w:val="0"/>
          <w:numId w:val="2"/>
        </w:numPr>
        <w:jc w:val="both"/>
        <w:rPr>
          <w:snapToGrid w:val="0"/>
          <w:sz w:val="24"/>
        </w:rPr>
      </w:pPr>
      <w:r>
        <w:rPr>
          <w:snapToGrid w:val="0"/>
          <w:sz w:val="24"/>
        </w:rPr>
        <w:t>Su e</w:t>
      </w:r>
      <w:r w:rsidRPr="00AF7121">
        <w:rPr>
          <w:snapToGrid w:val="0"/>
          <w:sz w:val="24"/>
        </w:rPr>
        <w:t>kspert</w:t>
      </w:r>
      <w:r>
        <w:rPr>
          <w:snapToGrid w:val="0"/>
          <w:sz w:val="24"/>
        </w:rPr>
        <w:t>u</w:t>
      </w:r>
      <w:r w:rsidRPr="00AF7121">
        <w:rPr>
          <w:snapToGrid w:val="0"/>
          <w:sz w:val="24"/>
        </w:rPr>
        <w:t>, nevykdan</w:t>
      </w:r>
      <w:r>
        <w:rPr>
          <w:snapToGrid w:val="0"/>
          <w:sz w:val="24"/>
        </w:rPr>
        <w:t>čiu</w:t>
      </w:r>
      <w:r w:rsidRPr="00AF7121">
        <w:rPr>
          <w:snapToGrid w:val="0"/>
          <w:sz w:val="24"/>
        </w:rPr>
        <w:t xml:space="preserve"> savo funkcijų, </w:t>
      </w:r>
      <w:r w:rsidRPr="00AF7121">
        <w:rPr>
          <w:sz w:val="24"/>
          <w:szCs w:val="24"/>
        </w:rPr>
        <w:t xml:space="preserve">Fondo valdyba </w:t>
      </w:r>
      <w:r>
        <w:rPr>
          <w:sz w:val="24"/>
          <w:szCs w:val="24"/>
        </w:rPr>
        <w:t xml:space="preserve">Fondo programos vadovo siūlymu </w:t>
      </w:r>
      <w:r w:rsidRPr="00AF7121">
        <w:rPr>
          <w:snapToGrid w:val="0"/>
          <w:sz w:val="24"/>
        </w:rPr>
        <w:t xml:space="preserve">gali vienašališkai nutraukti sutartį arba </w:t>
      </w:r>
      <w:r>
        <w:rPr>
          <w:snapToGrid w:val="0"/>
          <w:sz w:val="24"/>
        </w:rPr>
        <w:t>e</w:t>
      </w:r>
      <w:r w:rsidRPr="00AF7121">
        <w:rPr>
          <w:snapToGrid w:val="0"/>
          <w:sz w:val="24"/>
        </w:rPr>
        <w:t>kspertas savo veiklą gali sustabdyti pats.</w:t>
      </w:r>
    </w:p>
    <w:p w:rsidR="00B95DDB" w:rsidRPr="00AF7121" w:rsidRDefault="00B95DDB" w:rsidP="00B95DDB">
      <w:pPr>
        <w:numPr>
          <w:ilvl w:val="0"/>
          <w:numId w:val="2"/>
        </w:numPr>
        <w:jc w:val="both"/>
        <w:rPr>
          <w:snapToGrid w:val="0"/>
          <w:sz w:val="24"/>
        </w:rPr>
      </w:pPr>
      <w:r>
        <w:rPr>
          <w:snapToGrid w:val="0"/>
          <w:sz w:val="24"/>
        </w:rPr>
        <w:t>Su ekspertu nutraukus paslaugų sutartį arba ekspertui sustabdžius savo veiklą pačiam, jis pakeičiamas kitu ekspertu iš rezervinio sąrašo.</w:t>
      </w:r>
    </w:p>
    <w:p w:rsidR="00B95DDB" w:rsidRDefault="00B95DDB" w:rsidP="00B95DDB">
      <w:pPr>
        <w:pStyle w:val="BodyTextIndent"/>
      </w:pPr>
    </w:p>
    <w:p w:rsidR="00B95DDB" w:rsidRDefault="00B95DDB" w:rsidP="00B95DDB">
      <w:pPr>
        <w:jc w:val="both"/>
        <w:rPr>
          <w:b/>
          <w:snapToGrid w:val="0"/>
          <w:sz w:val="24"/>
        </w:rPr>
      </w:pPr>
      <w:r>
        <w:rPr>
          <w:b/>
          <w:snapToGrid w:val="0"/>
          <w:sz w:val="24"/>
        </w:rPr>
        <w:t xml:space="preserve">IV. </w:t>
      </w:r>
      <w:r>
        <w:rPr>
          <w:b/>
          <w:snapToGrid w:val="0"/>
          <w:sz w:val="24"/>
        </w:rPr>
        <w:tab/>
        <w:t>Ekspertų darbo organizavimas</w:t>
      </w:r>
    </w:p>
    <w:p w:rsidR="00B95DDB" w:rsidRDefault="00B95DDB" w:rsidP="00B95DDB">
      <w:pPr>
        <w:jc w:val="both"/>
        <w:rPr>
          <w:b/>
          <w:snapToGrid w:val="0"/>
          <w:sz w:val="24"/>
        </w:rPr>
      </w:pPr>
    </w:p>
    <w:p w:rsidR="00B95DDB" w:rsidRDefault="00B95DDB" w:rsidP="00B95DDB">
      <w:pPr>
        <w:numPr>
          <w:ilvl w:val="0"/>
          <w:numId w:val="2"/>
        </w:numPr>
        <w:jc w:val="both"/>
        <w:rPr>
          <w:snapToGrid w:val="0"/>
          <w:sz w:val="24"/>
        </w:rPr>
      </w:pPr>
      <w:r>
        <w:rPr>
          <w:snapToGrid w:val="0"/>
          <w:sz w:val="24"/>
        </w:rPr>
        <w:t>Ekspertų darbą organizuoja Fondo programos vadovas, padedant Fondo darbuotojams.</w:t>
      </w:r>
    </w:p>
    <w:p w:rsidR="00B95DDB" w:rsidRDefault="00B95DDB" w:rsidP="00B95DDB">
      <w:pPr>
        <w:numPr>
          <w:ilvl w:val="0"/>
          <w:numId w:val="2"/>
        </w:numPr>
        <w:jc w:val="both"/>
        <w:rPr>
          <w:snapToGrid w:val="0"/>
          <w:sz w:val="24"/>
        </w:rPr>
      </w:pPr>
      <w:r>
        <w:rPr>
          <w:snapToGrid w:val="0"/>
          <w:sz w:val="24"/>
        </w:rPr>
        <w:t>Fondo programos vadovas organizuoja paraiškų paskirstymą ir yra atsakingas už paraiškų pateikimą ekspertų vertinimui.</w:t>
      </w:r>
    </w:p>
    <w:p w:rsidR="00B95DDB" w:rsidRDefault="00B95DDB" w:rsidP="00B95DDB">
      <w:pPr>
        <w:numPr>
          <w:ilvl w:val="0"/>
          <w:numId w:val="2"/>
        </w:numPr>
        <w:jc w:val="both"/>
        <w:rPr>
          <w:snapToGrid w:val="0"/>
          <w:sz w:val="24"/>
        </w:rPr>
      </w:pPr>
      <w:r>
        <w:rPr>
          <w:snapToGrid w:val="0"/>
          <w:sz w:val="24"/>
        </w:rPr>
        <w:t>Kiekvieną projektą turi įvertinti ne mažiau kaip 2 ekspertai.</w:t>
      </w:r>
    </w:p>
    <w:p w:rsidR="00B95DDB" w:rsidRDefault="00B95DDB" w:rsidP="00B95DDB">
      <w:pPr>
        <w:numPr>
          <w:ilvl w:val="0"/>
          <w:numId w:val="2"/>
        </w:numPr>
        <w:jc w:val="both"/>
        <w:rPr>
          <w:sz w:val="24"/>
        </w:rPr>
      </w:pPr>
      <w:r>
        <w:rPr>
          <w:snapToGrid w:val="0"/>
          <w:sz w:val="24"/>
        </w:rPr>
        <w:t xml:space="preserve">Savo vertinimus, užpildydami ir parašu patvirtindami vertinimo lapus, ekspertai iki nurodyto termino </w:t>
      </w:r>
      <w:r>
        <w:rPr>
          <w:sz w:val="24"/>
        </w:rPr>
        <w:t xml:space="preserve">pateikia </w:t>
      </w:r>
      <w:r>
        <w:rPr>
          <w:snapToGrid w:val="0"/>
          <w:sz w:val="24"/>
        </w:rPr>
        <w:t>Fondo programos vadovui, kuris apskaičiuoja siūlomų balų vidurkį kiekvienam projektui.</w:t>
      </w:r>
    </w:p>
    <w:p w:rsidR="00B95DDB" w:rsidRDefault="00B95DDB" w:rsidP="00B95DDB">
      <w:pPr>
        <w:numPr>
          <w:ilvl w:val="0"/>
          <w:numId w:val="2"/>
        </w:numPr>
        <w:jc w:val="both"/>
        <w:rPr>
          <w:snapToGrid w:val="0"/>
          <w:sz w:val="24"/>
        </w:rPr>
      </w:pPr>
      <w:r>
        <w:rPr>
          <w:snapToGrid w:val="0"/>
          <w:sz w:val="24"/>
        </w:rPr>
        <w:t>Ekspertų darbo rezultatu yra laikoma pagal ekspertų kiekvienam projektui (projekto koncepcijai arba išsamiai projekto paraiškai) siūlomų balų vidurkio reitingą sudarytas projektų sąrašas ir raštu pateiktos kiekvieno projekto vertinimo išvados bei rekomendacijos (užpildyti vertinimo lapai).</w:t>
      </w:r>
    </w:p>
    <w:p w:rsidR="00B95DDB" w:rsidRPr="000176EB" w:rsidRDefault="00B95DDB" w:rsidP="00B95DDB">
      <w:pPr>
        <w:numPr>
          <w:ilvl w:val="0"/>
          <w:numId w:val="2"/>
        </w:numPr>
        <w:jc w:val="both"/>
        <w:rPr>
          <w:snapToGrid w:val="0"/>
          <w:sz w:val="24"/>
          <w:u w:val="single"/>
        </w:rPr>
      </w:pPr>
      <w:r w:rsidRPr="006E3D7A">
        <w:rPr>
          <w:snapToGrid w:val="0"/>
          <w:sz w:val="24"/>
        </w:rPr>
        <w:t xml:space="preserve">Išsiskyrus </w:t>
      </w:r>
      <w:r>
        <w:rPr>
          <w:snapToGrid w:val="0"/>
          <w:sz w:val="24"/>
        </w:rPr>
        <w:t>ekspertų</w:t>
      </w:r>
      <w:r w:rsidRPr="006E3D7A">
        <w:rPr>
          <w:snapToGrid w:val="0"/>
          <w:sz w:val="24"/>
        </w:rPr>
        <w:t xml:space="preserve"> nuomonėms dėl </w:t>
      </w:r>
      <w:r>
        <w:rPr>
          <w:snapToGrid w:val="0"/>
          <w:sz w:val="24"/>
        </w:rPr>
        <w:t xml:space="preserve">vertinamo </w:t>
      </w:r>
      <w:r w:rsidRPr="006E3D7A">
        <w:rPr>
          <w:snapToGrid w:val="0"/>
          <w:sz w:val="24"/>
        </w:rPr>
        <w:t>projekto</w:t>
      </w:r>
      <w:r>
        <w:rPr>
          <w:snapToGrid w:val="0"/>
          <w:sz w:val="24"/>
        </w:rPr>
        <w:t xml:space="preserve"> koncepcijos ar išsamios projekto paraiškos</w:t>
      </w:r>
      <w:r w:rsidRPr="006E3D7A">
        <w:rPr>
          <w:snapToGrid w:val="0"/>
          <w:sz w:val="24"/>
        </w:rPr>
        <w:t xml:space="preserve"> kokybės (jeigu </w:t>
      </w:r>
      <w:r>
        <w:rPr>
          <w:snapToGrid w:val="0"/>
          <w:sz w:val="24"/>
        </w:rPr>
        <w:t xml:space="preserve">projektą vertinusių ekspertų </w:t>
      </w:r>
      <w:r w:rsidRPr="006E3D7A">
        <w:rPr>
          <w:snapToGrid w:val="0"/>
          <w:sz w:val="24"/>
        </w:rPr>
        <w:t xml:space="preserve">skiriamų </w:t>
      </w:r>
      <w:r>
        <w:rPr>
          <w:snapToGrid w:val="0"/>
          <w:sz w:val="24"/>
        </w:rPr>
        <w:t>balų</w:t>
      </w:r>
      <w:r w:rsidRPr="006E3D7A">
        <w:rPr>
          <w:snapToGrid w:val="0"/>
          <w:sz w:val="24"/>
        </w:rPr>
        <w:t xml:space="preserve"> skirtumas yra didesnis nei 30</w:t>
      </w:r>
      <w:r>
        <w:rPr>
          <w:snapToGrid w:val="0"/>
          <w:sz w:val="24"/>
        </w:rPr>
        <w:t>)</w:t>
      </w:r>
      <w:r w:rsidRPr="006E3D7A">
        <w:rPr>
          <w:snapToGrid w:val="0"/>
          <w:sz w:val="24"/>
        </w:rPr>
        <w:t>, projektas</w:t>
      </w:r>
      <w:r>
        <w:rPr>
          <w:snapToGrid w:val="0"/>
          <w:sz w:val="24"/>
        </w:rPr>
        <w:t xml:space="preserve"> yra teikiamas papildomam vertinimui.</w:t>
      </w:r>
      <w:r>
        <w:rPr>
          <w:snapToGrid w:val="0"/>
          <w:sz w:val="24"/>
          <w:u w:val="single"/>
        </w:rPr>
        <w:t xml:space="preserve"> </w:t>
      </w:r>
    </w:p>
    <w:p w:rsidR="00B95DDB" w:rsidRDefault="00B95DDB" w:rsidP="00B95DDB">
      <w:pPr>
        <w:numPr>
          <w:ilvl w:val="0"/>
          <w:numId w:val="2"/>
        </w:numPr>
        <w:jc w:val="both"/>
        <w:rPr>
          <w:snapToGrid w:val="0"/>
          <w:sz w:val="24"/>
        </w:rPr>
      </w:pPr>
      <w:r w:rsidRPr="006E3D7A">
        <w:rPr>
          <w:snapToGrid w:val="0"/>
          <w:sz w:val="24"/>
        </w:rPr>
        <w:t>Paraiškas, teikiamas</w:t>
      </w:r>
      <w:r>
        <w:rPr>
          <w:snapToGrid w:val="0"/>
          <w:sz w:val="24"/>
        </w:rPr>
        <w:t xml:space="preserve"> papildomam vertinimui</w:t>
      </w:r>
      <w:r w:rsidRPr="006E3D7A">
        <w:rPr>
          <w:snapToGrid w:val="0"/>
          <w:sz w:val="24"/>
        </w:rPr>
        <w:t xml:space="preserve"> </w:t>
      </w:r>
      <w:r>
        <w:rPr>
          <w:snapToGrid w:val="0"/>
          <w:sz w:val="24"/>
        </w:rPr>
        <w:t>ekspertams</w:t>
      </w:r>
      <w:r w:rsidRPr="006E3D7A">
        <w:rPr>
          <w:snapToGrid w:val="0"/>
          <w:sz w:val="24"/>
        </w:rPr>
        <w:t>, nevertinusi</w:t>
      </w:r>
      <w:r>
        <w:rPr>
          <w:snapToGrid w:val="0"/>
          <w:sz w:val="24"/>
        </w:rPr>
        <w:t>ems</w:t>
      </w:r>
      <w:r w:rsidRPr="006E3D7A">
        <w:rPr>
          <w:snapToGrid w:val="0"/>
          <w:sz w:val="24"/>
        </w:rPr>
        <w:t xml:space="preserve"> konkrečių projektų, paskirsto ir paskirstymą raštu patvirtina </w:t>
      </w:r>
      <w:r>
        <w:rPr>
          <w:snapToGrid w:val="0"/>
          <w:sz w:val="24"/>
        </w:rPr>
        <w:t>Fondo programos vadovas</w:t>
      </w:r>
      <w:r w:rsidRPr="006E3D7A">
        <w:rPr>
          <w:snapToGrid w:val="0"/>
          <w:sz w:val="24"/>
        </w:rPr>
        <w:t>.</w:t>
      </w:r>
    </w:p>
    <w:p w:rsidR="00B95DDB" w:rsidRDefault="00B95DDB" w:rsidP="00B95DDB">
      <w:pPr>
        <w:jc w:val="both"/>
        <w:rPr>
          <w:b/>
          <w:snapToGrid w:val="0"/>
          <w:sz w:val="24"/>
        </w:rPr>
      </w:pPr>
    </w:p>
    <w:p w:rsidR="00B95DDB" w:rsidRDefault="00B95DDB" w:rsidP="00B95DDB">
      <w:pPr>
        <w:jc w:val="both"/>
        <w:rPr>
          <w:b/>
          <w:snapToGrid w:val="0"/>
          <w:sz w:val="24"/>
        </w:rPr>
      </w:pPr>
      <w:r>
        <w:rPr>
          <w:b/>
          <w:snapToGrid w:val="0"/>
          <w:sz w:val="24"/>
        </w:rPr>
        <w:t>V.</w:t>
      </w:r>
      <w:r>
        <w:rPr>
          <w:b/>
          <w:snapToGrid w:val="0"/>
          <w:sz w:val="24"/>
        </w:rPr>
        <w:tab/>
        <w:t>Eksperto teisės ir pareigos</w:t>
      </w:r>
    </w:p>
    <w:p w:rsidR="00B95DDB" w:rsidRDefault="00B95DDB" w:rsidP="00B95DDB">
      <w:pPr>
        <w:ind w:firstLine="720"/>
        <w:jc w:val="both"/>
        <w:rPr>
          <w:b/>
          <w:snapToGrid w:val="0"/>
          <w:sz w:val="24"/>
        </w:rPr>
      </w:pPr>
    </w:p>
    <w:p w:rsidR="00B95DDB" w:rsidRDefault="00B95DDB" w:rsidP="00B95DDB">
      <w:pPr>
        <w:pStyle w:val="BodyTextIndent"/>
        <w:numPr>
          <w:ilvl w:val="0"/>
          <w:numId w:val="2"/>
        </w:numPr>
        <w:rPr>
          <w:szCs w:val="24"/>
        </w:rPr>
      </w:pPr>
      <w:r>
        <w:t>Ekspertas įsipareigoja p</w:t>
      </w:r>
      <w:r w:rsidRPr="00AF526A">
        <w:t xml:space="preserve">risiimti atsakomybę už raštu pateiktą paraiškų įvertinimą ir, esant reikalui, žodžiu patvirtinti ir paaiškinti savo vertinimo logiką. </w:t>
      </w:r>
    </w:p>
    <w:p w:rsidR="00B95DDB" w:rsidRPr="00AF7121" w:rsidRDefault="00B95DDB" w:rsidP="00B95DDB">
      <w:pPr>
        <w:pStyle w:val="BodyTextIndent"/>
        <w:numPr>
          <w:ilvl w:val="0"/>
          <w:numId w:val="2"/>
        </w:numPr>
        <w:rPr>
          <w:szCs w:val="24"/>
        </w:rPr>
      </w:pPr>
      <w:r>
        <w:t>Ekspertas turi teisę laiku gauti visą projekto kokybės vertinimui reikalingą informaciją iš Fondo.</w:t>
      </w:r>
    </w:p>
    <w:p w:rsidR="00B95DDB" w:rsidRDefault="00B95DDB" w:rsidP="00B95DDB">
      <w:pPr>
        <w:numPr>
          <w:ilvl w:val="0"/>
          <w:numId w:val="2"/>
        </w:numPr>
        <w:jc w:val="both"/>
        <w:rPr>
          <w:snapToGrid w:val="0"/>
          <w:sz w:val="24"/>
        </w:rPr>
      </w:pPr>
      <w:r w:rsidRPr="00AF7121">
        <w:rPr>
          <w:sz w:val="24"/>
        </w:rPr>
        <w:t>Ekspertas negali</w:t>
      </w:r>
      <w:r>
        <w:rPr>
          <w:snapToGrid w:val="0"/>
          <w:sz w:val="24"/>
        </w:rPr>
        <w:t xml:space="preserve"> vertinti ir dalyvauti svarstant paraiškas, pateiktas organizacijų, su kuriomis ekspertą sieja ryšiai, neleidžiantys priimti objektyvių sprendimų – ekspertas yra arba per pastaruosius penkerius metus yra buvęs organizacijos narys, dalyvauja ar per pastaruosius </w:t>
      </w:r>
      <w:r>
        <w:rPr>
          <w:snapToGrid w:val="0"/>
          <w:sz w:val="24"/>
        </w:rPr>
        <w:lastRenderedPageBreak/>
        <w:t>penkerius metus yra dalyvavęs jos valdymo struktūrų veikloje, yra įtrauktas į projekto vykdymo procesą, arba pats pareiškia norą atsiriboti nuo viešųjų ir privačiųjų interesų konflikto.</w:t>
      </w:r>
    </w:p>
    <w:p w:rsidR="00B95DDB" w:rsidRPr="005662CE" w:rsidRDefault="00B95DDB" w:rsidP="00B95DDB">
      <w:pPr>
        <w:pStyle w:val="BodyTextIndent"/>
        <w:numPr>
          <w:ilvl w:val="0"/>
          <w:numId w:val="2"/>
        </w:numPr>
        <w:tabs>
          <w:tab w:val="num" w:pos="284"/>
        </w:tabs>
        <w:rPr>
          <w:szCs w:val="24"/>
        </w:rPr>
      </w:pPr>
      <w:r>
        <w:t>Ekspertas įsipareigoja n</w:t>
      </w:r>
      <w:r w:rsidRPr="00AF526A">
        <w:t>eteikti informacijos apie gautas įvertinimui paraiškas tretiesiems asmenims, neskelbti jų ar su jomis susijusių vertinimų bei kitokios su ve</w:t>
      </w:r>
      <w:r>
        <w:t>rtinimu susijusios informacijos.</w:t>
      </w:r>
    </w:p>
    <w:p w:rsidR="00B95DDB" w:rsidRDefault="00B95DDB" w:rsidP="00B95DDB">
      <w:pPr>
        <w:numPr>
          <w:ilvl w:val="0"/>
          <w:numId w:val="2"/>
        </w:numPr>
        <w:jc w:val="both"/>
        <w:rPr>
          <w:snapToGrid w:val="0"/>
          <w:sz w:val="24"/>
        </w:rPr>
      </w:pPr>
      <w:r>
        <w:rPr>
          <w:snapToGrid w:val="0"/>
          <w:sz w:val="24"/>
        </w:rPr>
        <w:t>Jei ekspertui vertinti pateikiama paraiška, galinti sukelti jo viešųjų ir privačiųjų interesų konfliktą, ekspertas privalo apie tai informuoti Fondo programos vadovą ir nevertinti paraiškos. Tokiu atveju, paraiška perduodama vertinti kitam ekspertui.</w:t>
      </w:r>
    </w:p>
    <w:p w:rsidR="00B95DDB" w:rsidRDefault="00B95DDB" w:rsidP="00B95DDB">
      <w:pPr>
        <w:numPr>
          <w:ilvl w:val="0"/>
          <w:numId w:val="2"/>
        </w:numPr>
        <w:jc w:val="both"/>
        <w:rPr>
          <w:snapToGrid w:val="0"/>
          <w:sz w:val="24"/>
        </w:rPr>
      </w:pPr>
      <w:r>
        <w:rPr>
          <w:snapToGrid w:val="0"/>
          <w:sz w:val="24"/>
        </w:rPr>
        <w:t>Ekspertai ir kiti asmenys, vienu ar kitu būdu įsitraukę į konkurso eigą, turi užtikrinti konkurso informacijos konfidencialumą ir jos viešai neskelbti bei neplatinti, iki Fondo valdyba nepriims galutinio sprendimo.</w:t>
      </w:r>
    </w:p>
    <w:p w:rsidR="00B95DDB" w:rsidRDefault="00B95DDB" w:rsidP="00B95DDB">
      <w:pPr>
        <w:numPr>
          <w:ilvl w:val="0"/>
          <w:numId w:val="2"/>
        </w:numPr>
        <w:jc w:val="both"/>
        <w:rPr>
          <w:snapToGrid w:val="0"/>
          <w:sz w:val="24"/>
        </w:rPr>
      </w:pPr>
      <w:r>
        <w:rPr>
          <w:snapToGrid w:val="0"/>
          <w:sz w:val="24"/>
        </w:rPr>
        <w:t>Jeigu ekspertas patenka į viešųjų ar privačiųjų interesų konfliktą, jo pateiktas projekto kokybės vertinimas netenka galios, o Fondo valdyba gali svarstyti nutraukti paslaugų teikimo sutartį.</w:t>
      </w:r>
    </w:p>
    <w:p w:rsidR="00B95DDB" w:rsidRDefault="00B95DDB" w:rsidP="00B95DDB">
      <w:pPr>
        <w:jc w:val="both"/>
        <w:rPr>
          <w:snapToGrid w:val="0"/>
          <w:sz w:val="24"/>
        </w:rPr>
      </w:pPr>
    </w:p>
    <w:p w:rsidR="00B95DDB" w:rsidRDefault="00B95DDB" w:rsidP="00B95DDB">
      <w:pPr>
        <w:numPr>
          <w:ilvl w:val="0"/>
          <w:numId w:val="1"/>
        </w:numPr>
        <w:jc w:val="both"/>
        <w:rPr>
          <w:b/>
          <w:snapToGrid w:val="0"/>
          <w:sz w:val="24"/>
        </w:rPr>
      </w:pPr>
      <w:r>
        <w:rPr>
          <w:b/>
          <w:snapToGrid w:val="0"/>
          <w:sz w:val="24"/>
        </w:rPr>
        <w:t>Baigiamosios nuostatos</w:t>
      </w:r>
    </w:p>
    <w:p w:rsidR="00B95DDB" w:rsidRDefault="00B95DDB" w:rsidP="00B95DDB">
      <w:pPr>
        <w:jc w:val="both"/>
        <w:rPr>
          <w:snapToGrid w:val="0"/>
          <w:sz w:val="24"/>
        </w:rPr>
      </w:pPr>
    </w:p>
    <w:p w:rsidR="00B95DDB" w:rsidRPr="00B86486" w:rsidRDefault="00B95DDB" w:rsidP="00B95DDB">
      <w:pPr>
        <w:numPr>
          <w:ilvl w:val="0"/>
          <w:numId w:val="2"/>
        </w:numPr>
        <w:jc w:val="both"/>
        <w:rPr>
          <w:sz w:val="24"/>
        </w:rPr>
      </w:pPr>
      <w:r w:rsidRPr="00AF7121">
        <w:rPr>
          <w:snapToGrid w:val="0"/>
          <w:sz w:val="24"/>
        </w:rPr>
        <w:t xml:space="preserve">Ekspertas savo veiklą baigia pasibaigus sutarties su Fondu terminui arba Fondo valdyba argumentuotu sprendimu nutaria nutraukti paslaugų sutartį su ekspertu. </w:t>
      </w:r>
    </w:p>
    <w:p w:rsidR="00B95DDB" w:rsidRDefault="00B95DDB" w:rsidP="00B95DDB">
      <w:pPr>
        <w:jc w:val="both"/>
        <w:rPr>
          <w:snapToGrid w:val="0"/>
          <w:sz w:val="24"/>
        </w:rPr>
      </w:pPr>
    </w:p>
    <w:p w:rsidR="00B95DDB" w:rsidRDefault="00B95DDB" w:rsidP="00B95DDB">
      <w:pPr>
        <w:jc w:val="both"/>
        <w:rPr>
          <w:snapToGrid w:val="0"/>
          <w:sz w:val="24"/>
        </w:rPr>
      </w:pPr>
    </w:p>
    <w:p w:rsidR="00B95DDB" w:rsidRPr="00AF7121" w:rsidRDefault="00B95DDB" w:rsidP="00B95DDB">
      <w:pPr>
        <w:jc w:val="center"/>
        <w:rPr>
          <w:sz w:val="24"/>
        </w:rPr>
      </w:pPr>
      <w:r>
        <w:rPr>
          <w:snapToGrid w:val="0"/>
          <w:sz w:val="24"/>
        </w:rPr>
        <w:t>____________________</w:t>
      </w:r>
    </w:p>
    <w:p w:rsidR="002A50D3" w:rsidRDefault="002A50D3"/>
    <w:sectPr w:rsidR="002A50D3">
      <w:headerReference w:type="default" r:id="rId8"/>
      <w:footerReference w:type="even" r:id="rId9"/>
      <w:footerReference w:type="default" r:id="rId10"/>
      <w:pgSz w:w="11906" w:h="16838"/>
      <w:pgMar w:top="1134"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352A">
      <w:r>
        <w:separator/>
      </w:r>
    </w:p>
  </w:endnote>
  <w:endnote w:type="continuationSeparator" w:id="0">
    <w:p w:rsidR="00000000" w:rsidRDefault="0072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7" w:rsidRDefault="00B95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6C7" w:rsidRDefault="007235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C7" w:rsidRDefault="00B95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52A">
      <w:rPr>
        <w:rStyle w:val="PageNumber"/>
        <w:noProof/>
      </w:rPr>
      <w:t>3</w:t>
    </w:r>
    <w:r>
      <w:rPr>
        <w:rStyle w:val="PageNumber"/>
      </w:rPr>
      <w:fldChar w:fldCharType="end"/>
    </w:r>
  </w:p>
  <w:p w:rsidR="006F66C7" w:rsidRDefault="00723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352A">
      <w:r>
        <w:separator/>
      </w:r>
    </w:p>
  </w:footnote>
  <w:footnote w:type="continuationSeparator" w:id="0">
    <w:p w:rsidR="00000000" w:rsidRDefault="007235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00" w:rsidRDefault="00B95DDB">
    <w:pPr>
      <w:pStyle w:val="Header"/>
    </w:pPr>
    <w:r>
      <w:rPr>
        <w:noProof/>
        <w:lang w:eastAsia="lt-LT"/>
      </w:rPr>
      <w:drawing>
        <wp:inline distT="0" distB="0" distL="0" distR="0">
          <wp:extent cx="1645920"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72770"/>
                  </a:xfrm>
                  <a:prstGeom prst="rect">
                    <a:avLst/>
                  </a:prstGeom>
                  <a:noFill/>
                </pic:spPr>
              </pic:pic>
            </a:graphicData>
          </a:graphic>
        </wp:inline>
      </w:drawing>
    </w:r>
  </w:p>
  <w:p w:rsidR="00D31000" w:rsidRDefault="007235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1D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DE09F8"/>
    <w:multiLevelType w:val="singleLevel"/>
    <w:tmpl w:val="4B12481A"/>
    <w:lvl w:ilvl="0">
      <w:start w:val="5"/>
      <w:numFmt w:val="upperRoman"/>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DB"/>
    <w:rsid w:val="002A50D3"/>
    <w:rsid w:val="0072352A"/>
    <w:rsid w:val="00B95D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3D775"/>
  <w15:chartTrackingRefBased/>
  <w15:docId w15:val="{C44EAE58-8CAE-45F8-B1A2-61636918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D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5DDB"/>
    <w:pPr>
      <w:jc w:val="both"/>
    </w:pPr>
    <w:rPr>
      <w:sz w:val="24"/>
    </w:rPr>
  </w:style>
  <w:style w:type="character" w:customStyle="1" w:styleId="BodyTextChar">
    <w:name w:val="Body Text Char"/>
    <w:basedOn w:val="DefaultParagraphFont"/>
    <w:link w:val="BodyText"/>
    <w:rsid w:val="00B95DDB"/>
    <w:rPr>
      <w:rFonts w:ascii="Times New Roman" w:eastAsia="Times New Roman" w:hAnsi="Times New Roman" w:cs="Times New Roman"/>
      <w:sz w:val="24"/>
      <w:szCs w:val="20"/>
    </w:rPr>
  </w:style>
  <w:style w:type="paragraph" w:styleId="Footer">
    <w:name w:val="footer"/>
    <w:basedOn w:val="Normal"/>
    <w:link w:val="FooterChar"/>
    <w:rsid w:val="00B95DDB"/>
    <w:pPr>
      <w:tabs>
        <w:tab w:val="center" w:pos="4320"/>
        <w:tab w:val="right" w:pos="8640"/>
      </w:tabs>
      <w:spacing w:line="288" w:lineRule="auto"/>
      <w:jc w:val="both"/>
    </w:pPr>
    <w:rPr>
      <w:sz w:val="24"/>
    </w:rPr>
  </w:style>
  <w:style w:type="character" w:customStyle="1" w:styleId="FooterChar">
    <w:name w:val="Footer Char"/>
    <w:basedOn w:val="DefaultParagraphFont"/>
    <w:link w:val="Footer"/>
    <w:rsid w:val="00B95DDB"/>
    <w:rPr>
      <w:rFonts w:ascii="Times New Roman" w:eastAsia="Times New Roman" w:hAnsi="Times New Roman" w:cs="Times New Roman"/>
      <w:sz w:val="24"/>
      <w:szCs w:val="20"/>
    </w:rPr>
  </w:style>
  <w:style w:type="paragraph" w:styleId="BodyTextIndent">
    <w:name w:val="Body Text Indent"/>
    <w:basedOn w:val="Normal"/>
    <w:link w:val="BodyTextIndentChar"/>
    <w:rsid w:val="00B95DDB"/>
    <w:pPr>
      <w:jc w:val="both"/>
    </w:pPr>
    <w:rPr>
      <w:sz w:val="24"/>
    </w:rPr>
  </w:style>
  <w:style w:type="character" w:customStyle="1" w:styleId="BodyTextIndentChar">
    <w:name w:val="Body Text Indent Char"/>
    <w:basedOn w:val="DefaultParagraphFont"/>
    <w:link w:val="BodyTextIndent"/>
    <w:rsid w:val="00B95DDB"/>
    <w:rPr>
      <w:rFonts w:ascii="Times New Roman" w:eastAsia="Times New Roman" w:hAnsi="Times New Roman" w:cs="Times New Roman"/>
      <w:sz w:val="24"/>
      <w:szCs w:val="20"/>
    </w:rPr>
  </w:style>
  <w:style w:type="character" w:styleId="PageNumber">
    <w:name w:val="page number"/>
    <w:basedOn w:val="DefaultParagraphFont"/>
    <w:rsid w:val="00B95DDB"/>
  </w:style>
  <w:style w:type="paragraph" w:styleId="Header">
    <w:name w:val="header"/>
    <w:basedOn w:val="Normal"/>
    <w:link w:val="HeaderChar"/>
    <w:rsid w:val="00B95DDB"/>
    <w:pPr>
      <w:tabs>
        <w:tab w:val="center" w:pos="4513"/>
        <w:tab w:val="right" w:pos="9026"/>
      </w:tabs>
    </w:pPr>
  </w:style>
  <w:style w:type="character" w:customStyle="1" w:styleId="HeaderChar">
    <w:name w:val="Header Char"/>
    <w:basedOn w:val="DefaultParagraphFont"/>
    <w:link w:val="Header"/>
    <w:rsid w:val="00B95DDB"/>
    <w:rPr>
      <w:rFonts w:ascii="Times New Roman" w:eastAsia="Times New Roman" w:hAnsi="Times New Roman" w:cs="Times New Roman"/>
      <w:sz w:val="20"/>
      <w:szCs w:val="20"/>
    </w:rPr>
  </w:style>
  <w:style w:type="character" w:styleId="Hyperlink">
    <w:name w:val="Hyperlink"/>
    <w:rsid w:val="00B95D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pf.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4987</Words>
  <Characters>2843</Characters>
  <Application>Microsoft Office Word</Application>
  <DocSecurity>0</DocSecurity>
  <Lines>23</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2</cp:revision>
  <dcterms:created xsi:type="dcterms:W3CDTF">2021-09-07T10:53:00Z</dcterms:created>
  <dcterms:modified xsi:type="dcterms:W3CDTF">2021-09-07T11:25:00Z</dcterms:modified>
</cp:coreProperties>
</file>